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AA" w:rsidRDefault="00BB0969" w:rsidP="00A65AAA">
      <w:pPr>
        <w:keepNext/>
        <w:spacing w:after="0" w:line="240" w:lineRule="auto"/>
        <w:ind w:left="6372"/>
        <w:outlineLvl w:val="1"/>
        <w:rPr>
          <w:rFonts w:ascii="Times New Roman" w:hAnsi="Times New Roman" w:cs="Times New Roman"/>
          <w:b/>
          <w:sz w:val="24"/>
          <w:szCs w:val="24"/>
        </w:rPr>
      </w:pPr>
      <w:r w:rsidRPr="00A65AAA">
        <w:rPr>
          <w:rFonts w:ascii="Times New Roman" w:hAnsi="Times New Roman" w:cs="Times New Roman"/>
          <w:b/>
          <w:sz w:val="24"/>
          <w:szCs w:val="24"/>
        </w:rPr>
        <w:t xml:space="preserve">Приложение №1 </w:t>
      </w:r>
    </w:p>
    <w:p w:rsidR="00353493" w:rsidRPr="00A65AAA" w:rsidRDefault="00BB0969" w:rsidP="00A65AAA">
      <w:pPr>
        <w:keepNext/>
        <w:spacing w:after="0" w:line="240" w:lineRule="auto"/>
        <w:ind w:left="6372"/>
        <w:outlineLvl w:val="1"/>
        <w:rPr>
          <w:rFonts w:ascii="Times New Roman" w:hAnsi="Times New Roman" w:cs="Times New Roman"/>
          <w:b/>
          <w:sz w:val="24"/>
          <w:szCs w:val="24"/>
        </w:rPr>
      </w:pPr>
      <w:r w:rsidRPr="00A65AAA">
        <w:rPr>
          <w:rFonts w:ascii="Times New Roman" w:hAnsi="Times New Roman" w:cs="Times New Roman"/>
          <w:b/>
          <w:sz w:val="24"/>
          <w:szCs w:val="24"/>
        </w:rPr>
        <w:t>к Коллективному договору ОАО «Балтачевское «</w:t>
      </w:r>
      <w:proofErr w:type="spellStart"/>
      <w:r w:rsidRPr="00A65AAA">
        <w:rPr>
          <w:rFonts w:ascii="Times New Roman" w:hAnsi="Times New Roman" w:cs="Times New Roman"/>
          <w:b/>
          <w:sz w:val="24"/>
          <w:szCs w:val="24"/>
        </w:rPr>
        <w:t>Сельэнерго</w:t>
      </w:r>
      <w:proofErr w:type="spellEnd"/>
      <w:r w:rsidRPr="00A65AAA">
        <w:rPr>
          <w:rFonts w:ascii="Times New Roman" w:hAnsi="Times New Roman" w:cs="Times New Roman"/>
          <w:b/>
          <w:sz w:val="24"/>
          <w:szCs w:val="24"/>
        </w:rPr>
        <w:t>» на 2020-2022</w:t>
      </w:r>
    </w:p>
    <w:p w:rsidR="00BB0969" w:rsidRPr="00A65AAA" w:rsidRDefault="00BB0969" w:rsidP="00781712">
      <w:pPr>
        <w:keepNext/>
        <w:spacing w:after="0" w:line="240" w:lineRule="auto"/>
        <w:jc w:val="center"/>
        <w:outlineLvl w:val="1"/>
        <w:rPr>
          <w:rFonts w:ascii="Times New Roman" w:hAnsi="Times New Roman" w:cs="Times New Roman"/>
          <w:b/>
          <w:sz w:val="24"/>
          <w:szCs w:val="24"/>
        </w:rPr>
      </w:pPr>
    </w:p>
    <w:p w:rsidR="00BB0969" w:rsidRPr="00A65AAA" w:rsidRDefault="00BB0969" w:rsidP="00781712">
      <w:pPr>
        <w:keepNext/>
        <w:spacing w:after="0" w:line="240" w:lineRule="auto"/>
        <w:jc w:val="center"/>
        <w:outlineLvl w:val="1"/>
        <w:rPr>
          <w:rFonts w:ascii="Times New Roman" w:hAnsi="Times New Roman" w:cs="Times New Roman"/>
          <w:b/>
          <w:sz w:val="24"/>
          <w:szCs w:val="24"/>
        </w:rPr>
      </w:pPr>
    </w:p>
    <w:p w:rsidR="00781712" w:rsidRPr="00A65AAA"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 xml:space="preserve">ПОЛОЖЕНИЕ </w:t>
      </w:r>
    </w:p>
    <w:p w:rsidR="00D85A13"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 xml:space="preserve">об оплате труда и премировании работников </w:t>
      </w:r>
    </w:p>
    <w:p w:rsidR="00D85A13"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ОАО «Балтачевское «</w:t>
      </w:r>
      <w:proofErr w:type="spellStart"/>
      <w:r w:rsidRPr="00A65AAA">
        <w:rPr>
          <w:rFonts w:ascii="Times New Roman" w:hAnsi="Times New Roman" w:cs="Times New Roman"/>
          <w:b/>
          <w:sz w:val="24"/>
          <w:szCs w:val="24"/>
        </w:rPr>
        <w:t>Сельэнерго</w:t>
      </w:r>
      <w:proofErr w:type="spellEnd"/>
      <w:r w:rsidRPr="00A65AAA">
        <w:rPr>
          <w:rFonts w:ascii="Times New Roman" w:hAnsi="Times New Roman" w:cs="Times New Roman"/>
          <w:b/>
          <w:sz w:val="24"/>
          <w:szCs w:val="24"/>
        </w:rPr>
        <w:t xml:space="preserve">», а также о порядке предоставления </w:t>
      </w:r>
    </w:p>
    <w:p w:rsidR="00781712" w:rsidRPr="00A65AAA"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работодателем материальной помощи</w:t>
      </w:r>
      <w:r w:rsidR="00F75264" w:rsidRPr="00A65AAA">
        <w:rPr>
          <w:rFonts w:ascii="Times New Roman" w:hAnsi="Times New Roman" w:cs="Times New Roman"/>
          <w:b/>
          <w:sz w:val="24"/>
          <w:szCs w:val="24"/>
        </w:rPr>
        <w:t xml:space="preserve"> и</w:t>
      </w:r>
      <w:r w:rsidRPr="00A65AAA">
        <w:rPr>
          <w:rFonts w:ascii="Times New Roman" w:hAnsi="Times New Roman" w:cs="Times New Roman"/>
          <w:b/>
          <w:sz w:val="24"/>
          <w:szCs w:val="24"/>
        </w:rPr>
        <w:t xml:space="preserve"> займов работникам</w:t>
      </w:r>
    </w:p>
    <w:p w:rsidR="00781712" w:rsidRPr="00A65AAA" w:rsidRDefault="00781712" w:rsidP="00781712">
      <w:pPr>
        <w:keepNext/>
        <w:spacing w:after="0" w:line="240" w:lineRule="auto"/>
        <w:jc w:val="right"/>
        <w:outlineLvl w:val="1"/>
        <w:rPr>
          <w:rFonts w:ascii="Times New Roman" w:hAnsi="Times New Roman" w:cs="Times New Roman"/>
          <w:sz w:val="24"/>
          <w:szCs w:val="24"/>
        </w:rPr>
      </w:pPr>
    </w:p>
    <w:p w:rsidR="00781712" w:rsidRPr="00A65AAA" w:rsidRDefault="00781712" w:rsidP="00781712">
      <w:pPr>
        <w:keepNext/>
        <w:spacing w:after="0" w:line="240" w:lineRule="auto"/>
        <w:ind w:firstLine="567"/>
        <w:jc w:val="center"/>
        <w:outlineLvl w:val="1"/>
        <w:rPr>
          <w:rFonts w:ascii="Times New Roman" w:hAnsi="Times New Roman" w:cs="Times New Roman"/>
          <w:b/>
          <w:sz w:val="24"/>
          <w:szCs w:val="24"/>
        </w:rPr>
      </w:pPr>
      <w:r w:rsidRPr="00A65AAA">
        <w:rPr>
          <w:rFonts w:ascii="Times New Roman" w:hAnsi="Times New Roman" w:cs="Times New Roman"/>
          <w:b/>
          <w:sz w:val="24"/>
          <w:szCs w:val="24"/>
        </w:rPr>
        <w:t>1. ОБЩИЕ ПОЛОЖЕНИЯ</w:t>
      </w:r>
    </w:p>
    <w:p w:rsidR="00781712" w:rsidRPr="00A65AAA" w:rsidRDefault="00781712" w:rsidP="00781712">
      <w:pPr>
        <w:keepNext/>
        <w:spacing w:after="0" w:line="240" w:lineRule="auto"/>
        <w:jc w:val="center"/>
        <w:outlineLvl w:val="1"/>
        <w:rPr>
          <w:rFonts w:ascii="Times New Roman" w:hAnsi="Times New Roman" w:cs="Times New Roman"/>
          <w:sz w:val="24"/>
          <w:szCs w:val="24"/>
        </w:rPr>
      </w:pP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1.1. Настоящее Положение разработано в соответствии с действующим законодательством Российской Федерации и предусматривает порядок и условия оплаты труда, материального стимулирования и поощрения Работников ОАО «Балтачевское «</w:t>
      </w:r>
      <w:proofErr w:type="spellStart"/>
      <w:r w:rsidRPr="00A65AAA">
        <w:rPr>
          <w:rFonts w:ascii="Times New Roman" w:hAnsi="Times New Roman" w:cs="Times New Roman"/>
          <w:sz w:val="24"/>
          <w:szCs w:val="24"/>
        </w:rPr>
        <w:t>Сельэнерго</w:t>
      </w:r>
      <w:proofErr w:type="spellEnd"/>
      <w:r w:rsidRPr="00A65AAA">
        <w:rPr>
          <w:rFonts w:ascii="Times New Roman" w:hAnsi="Times New Roman" w:cs="Times New Roman"/>
          <w:sz w:val="24"/>
          <w:szCs w:val="24"/>
        </w:rPr>
        <w:t>» - наименование организации, именуемое в дальнейшем «Работодатель».</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1.2. Настоящее Положение распространяется на лиц, именуемых в дальнейшем «Работники», осуществляющих у Работодателя трудовую деятельность на основании заключенных с ними трудовых договоров и принятых на работу в соответствии с распорядительными актами Работодателя.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1.3. </w:t>
      </w:r>
      <w:proofErr w:type="gramStart"/>
      <w:r w:rsidRPr="00A65AAA">
        <w:rPr>
          <w:rFonts w:ascii="Times New Roman" w:hAnsi="Times New Roman" w:cs="Times New Roman"/>
          <w:sz w:val="24"/>
          <w:szCs w:val="24"/>
        </w:rPr>
        <w:t>В настоящем Положении под заработной платой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связи с выполнением трудовых обязанностей в соответствии с законодательством Российской Федерации, трудовыми договорами, настоящим Положением и иными локальными нормативными актами Работодателя.</w:t>
      </w:r>
      <w:proofErr w:type="gramEnd"/>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1.4. Заработная плата Работников включает в себя: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1.4.1. Должностной оклад.</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1.4.2. Премии за надлежащее выполнение Работниками трудовых функций, производимые сверх заработной платы в соответствии с настоящим Положением и трудовым договором.</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p>
    <w:p w:rsidR="00781712" w:rsidRPr="00A65AAA"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2. СИСТЕМА ОПЛАТЫ ТРУДА РАБОТНИКОВ</w:t>
      </w:r>
    </w:p>
    <w:p w:rsidR="00781712" w:rsidRPr="00A65AAA" w:rsidRDefault="00781712" w:rsidP="00781712">
      <w:pPr>
        <w:keepNext/>
        <w:spacing w:after="0" w:line="240" w:lineRule="auto"/>
        <w:jc w:val="center"/>
        <w:outlineLvl w:val="1"/>
        <w:rPr>
          <w:rFonts w:ascii="Times New Roman" w:hAnsi="Times New Roman" w:cs="Times New Roman"/>
          <w:sz w:val="24"/>
          <w:szCs w:val="24"/>
        </w:rPr>
      </w:pP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2.1. Под системой оплаты труда в настоящем Положении понимается способ исчисления размеров вознаграждения, подлежащего выплате Работникам в соответствии с произведенными ими трудовыми затратами и/или результатами труда.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2.2. У Работодателя устанавливается повременно-премиальная  и сдельно-премиальная система оплаты труда, если трудовым договором с Работниками не предусмотрено иное. Повременная система оплаты труда предусматривает, что величина  заработной платы Работников зависит от фактически отработанного ими времени, учет которого ведется Работниками в соответствии с документами учета рабочего времени (табелями). Для руководящих Работников и отдельным Работникам Правилами внутреннего трудового распорядка и трудовым договором может устанавливаться ненормированный рабочий день либо работа в режиме гибкого рабочего времени.</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2.2.1. Труд специалистов (инженерно-технических работников и служащих) оплачивается по должностным окладам, премии за производственные результаты, вознаграждения по результатам деятельности и надбавки за выслугу лет.</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Труд электромонтеров оперативно-выездной бригады и бригады по ремонту распределительных сетей, водителей, механизаторов, сварщиков, работников трансформаторного цеха оплачивается по часовым тарифным ставкам. </w:t>
      </w:r>
      <w:proofErr w:type="gramStart"/>
      <w:r w:rsidRPr="00A65AAA">
        <w:rPr>
          <w:rFonts w:ascii="Times New Roman" w:hAnsi="Times New Roman" w:cs="Times New Roman"/>
          <w:sz w:val="24"/>
          <w:szCs w:val="24"/>
        </w:rPr>
        <w:t>Коме</w:t>
      </w:r>
      <w:proofErr w:type="gramEnd"/>
      <w:r w:rsidRPr="00A65AAA">
        <w:rPr>
          <w:rFonts w:ascii="Times New Roman" w:hAnsi="Times New Roman" w:cs="Times New Roman"/>
          <w:sz w:val="24"/>
          <w:szCs w:val="24"/>
        </w:rPr>
        <w:t xml:space="preserve"> того, им выплачивается премия за производственные результаты, надбавки за выслугу лет, </w:t>
      </w:r>
      <w:r w:rsidRPr="00A65AAA">
        <w:rPr>
          <w:rFonts w:ascii="Times New Roman" w:hAnsi="Times New Roman" w:cs="Times New Roman"/>
          <w:sz w:val="24"/>
          <w:szCs w:val="24"/>
        </w:rPr>
        <w:lastRenderedPageBreak/>
        <w:t>вознаграждения по результатам деятельности Общества и надбавки за работу с вредными условиями труда согласно Коллективному договору.</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Труд электромонтажников по распределительным устройствам оплачивается по сдельным расценкам. Кроме того, им выплачивается премия за производственные результаты, надбавка за выслугу лет, вознаграждение по результатам деятельности Общества и надбавки за работу с вредными и тяжелыми условиями труда.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2.2.2. Размер месячной тарифной ставки (оклада) работников зависит от установленного разряда оплаты труда и величины тарифной ставки первого разряда.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Размер месячной тарифной ставки первого разряда устанавливается для всех подразделений Общества одинаково.</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Повышение размеров тарифных ставок (окладов) работников Общества производится с повышением месячной тарифной ставки первого разряда единой месячной тарифной ставки, в пределах собственных средств.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Изменение существующих разрядов работников Общества производится на основании решения комиссии по переаттестации.</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2.2.3. Оплата труда учеников, приобретающих новую профессию, на время обучения устанавливается в размере 80% от оплаты труда работника соответствующей профессии.</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2.2.4. Для вновь принятых работников, за исключением учеников, на время испытательного срока устанавливается часовая тарифная ставка (оклад) в размере 90% от часовой тарифной ставки (оклада) работника соответствующей профессии (должности).</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2.2.5. По окончании испытательного срока вновь принятых работников проводится аттестация для подтверждения уровня соответствующей квалификации.</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2.2.6.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2.3. Премиальная система оплаты труда предполагает выплату Работникам дополнительно к заработной плате материального поощрения за ненадлежащее выполнение трудовых функций при соблюдении Работниками условий премирования в виде регулярных и/или единовременных (разовых) премий в соответствии с трудовым договором:</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2.3.1. премии, начисленной по итогам хозяйственной деятельности Общества за месяц и составляющей до 50% от должностных окладов или часовой тарифной ставки, согласно штатному расписанию.</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Размер премии зависит </w:t>
      </w:r>
      <w:proofErr w:type="gramStart"/>
      <w:r w:rsidRPr="00A65AAA">
        <w:rPr>
          <w:rFonts w:ascii="Times New Roman" w:hAnsi="Times New Roman" w:cs="Times New Roman"/>
          <w:sz w:val="24"/>
          <w:szCs w:val="24"/>
        </w:rPr>
        <w:t>от</w:t>
      </w:r>
      <w:proofErr w:type="gramEnd"/>
      <w:r w:rsidRPr="00A65AAA">
        <w:rPr>
          <w:rFonts w:ascii="Times New Roman" w:hAnsi="Times New Roman" w:cs="Times New Roman"/>
          <w:sz w:val="24"/>
          <w:szCs w:val="24"/>
        </w:rPr>
        <w:t>:</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выполнения плана по количеству выполненных работ или оказанных услуг;</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качества выполненных работ и (или) оказанных услуг.</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При невыполнении плана по количеству и (или) качеству выполненных работ или оказанных услуг премия не начисляется.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2.3.2. премии, могут быть начислены отдельным работникам Общества приказом руководителя за качественное и досрочное выполнение порученного объема работ, по итогам проведенных тренировок, занятий (учений) по гражданской обороне и отработке действий при чрезвычайных ситуациях, а также работникам, особо отличившимся при выполнении работ по ликвидации последствий стихийных бедствий и чрезвычайных ситуаций.</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2.4. Доплаты и надбавки.</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2.4.1. Доплата за работу или оказанные услуги в праздничные дни для работников, которые работают по 8-ми часовому 5-ти дневному режиму рабочего времени, производится в соответствии со статьей 153 Трудового кодекса Российской Федерации на основании приказов и распоряжений об организации работ.</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2.4.2. При сменной работе применяется суммированный учет рабочего времени в течение месяца, при этом смены могут быть разной продолжительности. Возникающие при этом графике сменности недоработки и переработки сверх смены регулируются в рамках месячного периода рабочего времени и могут по желанию работника компенсироваться соответствующим уменьшением других смен, дополнительными днями отдыха.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lastRenderedPageBreak/>
        <w:t>2.4.3. За каждый час работы в ночное время, с 22 часов до 6 часов, в случае, если работа в ночное время не предусмотрена графиком сменности, производится оплата труда в повышенном размере в соответствии с трудовым законодательством, которая составляет 40% от тарифной ставки (должностного оклада).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2.4.4. Оплата труда работников (электромонтера по ремонту и обслуживанию электрооборудования, электромонтажника по распределительным устройствам, работника трансформаторного цеха, токаря, слесаря, </w:t>
      </w:r>
      <w:proofErr w:type="spellStart"/>
      <w:r w:rsidRPr="00A65AAA">
        <w:rPr>
          <w:rFonts w:ascii="Times New Roman" w:hAnsi="Times New Roman" w:cs="Times New Roman"/>
          <w:sz w:val="24"/>
          <w:szCs w:val="24"/>
        </w:rPr>
        <w:t>электрогазосварщика</w:t>
      </w:r>
      <w:proofErr w:type="spellEnd"/>
      <w:r w:rsidRPr="00A65AAA">
        <w:rPr>
          <w:rFonts w:ascii="Times New Roman" w:hAnsi="Times New Roman" w:cs="Times New Roman"/>
          <w:sz w:val="24"/>
          <w:szCs w:val="24"/>
        </w:rPr>
        <w:t>), занятых на тяжелых работах, работах с вредными, опасными условиями труда, производится в повышенном размере, который составляет:</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- 15% от тарифной ставки (должностного оклада) для работников, занятых на тяжелых работах;</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- 15% от тарифной ставки (должностного оклада) для работников, занятых на работах с вредными условиями труда.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2.4.5. Работнику, выполняющему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от тарифной ставки (должностного оклада).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Работа в ночное время оплачивается в полуторном размере тарифных ставок.</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Изготовление бракованной продукции не по вине работника не влечет изменения оплаты труда. Частичный брак по вине работника оплачивается по сниженным расценкам, уменьшая </w:t>
      </w:r>
      <w:proofErr w:type="gramStart"/>
      <w:r w:rsidRPr="00A65AAA">
        <w:rPr>
          <w:rFonts w:ascii="Times New Roman" w:hAnsi="Times New Roman" w:cs="Times New Roman"/>
          <w:sz w:val="24"/>
          <w:szCs w:val="24"/>
        </w:rPr>
        <w:t>действующие</w:t>
      </w:r>
      <w:proofErr w:type="gramEnd"/>
      <w:r w:rsidRPr="00A65AAA">
        <w:rPr>
          <w:rFonts w:ascii="Times New Roman" w:hAnsi="Times New Roman" w:cs="Times New Roman"/>
          <w:sz w:val="24"/>
          <w:szCs w:val="24"/>
        </w:rPr>
        <w:t xml:space="preserve"> на 50%. Полный брак по вине работника оплате не подлежит.</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2.4.6.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выплат устанавливаются для каждой категории работников).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2.4.7. Доплата и надбавки за профессиональное мастерство и за индивидуальные результаты работы устанавливаются работникам в индивидуальном порядке на основании приказов (распоряжений) руководителя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2.5. Вознаграждение по результатам деятельности Общества за год выплачивается работникам, состоящим в штате Общества. Источником выплаты вознаграждения по результатам деятельности Общества является фонд оплаты труда.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Вознаграждение выплачивается в полном размере работникам, проработавшим полный календарный год. Проработавшие полный календарный год и уволившиеся из Общества до момента выплаты вознаграждения имеют право на получение его в полном объеме. </w:t>
      </w:r>
      <w:proofErr w:type="gramStart"/>
      <w:r w:rsidRPr="00A65AAA">
        <w:rPr>
          <w:rFonts w:ascii="Times New Roman" w:hAnsi="Times New Roman" w:cs="Times New Roman"/>
          <w:sz w:val="24"/>
          <w:szCs w:val="24"/>
        </w:rPr>
        <w:t>Вознаграждение выплачивается также работникам, не проработавшим календарный год по уважительной причине: служба в вооруженных силах, уход на пенсию, рождение ребенка, учеба на курсах повышения квалификации с отрывом от производства по направлению Общества, работа на выборных должностях, перевод по решению вышестоящих органов или согласованию между Работодателями, увольнение по сокращению численности или штата работника Общества.</w:t>
      </w:r>
      <w:proofErr w:type="gramEnd"/>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В стаж работы, продолжительность которого учитывается при выплате вознаграждения, включается время непрерывной работы, при поступлении переводом и проработавшие в Обществе не менее одного года.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В зависимости от непрерывного стажа работы, а также средств, вложенных для направления на вознаграждение, вознаграждение выплачивается в следующих размерах:</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p>
    <w:tbl>
      <w:tblPr>
        <w:tblStyle w:val="a3"/>
        <w:tblW w:w="0" w:type="auto"/>
        <w:tblLook w:val="04A0"/>
      </w:tblPr>
      <w:tblGrid>
        <w:gridCol w:w="5068"/>
        <w:gridCol w:w="5069"/>
      </w:tblGrid>
      <w:tr w:rsidR="00781712" w:rsidRPr="00A65AAA" w:rsidTr="00781712">
        <w:tc>
          <w:tcPr>
            <w:tcW w:w="5068" w:type="dxa"/>
          </w:tcPr>
          <w:p w:rsidR="00781712" w:rsidRPr="00A65AAA" w:rsidRDefault="00781712" w:rsidP="00781712">
            <w:pPr>
              <w:keepNext/>
              <w:jc w:val="center"/>
              <w:outlineLvl w:val="1"/>
              <w:rPr>
                <w:rFonts w:ascii="Times New Roman" w:hAnsi="Times New Roman" w:cs="Times New Roman"/>
                <w:b/>
                <w:sz w:val="24"/>
                <w:szCs w:val="24"/>
              </w:rPr>
            </w:pPr>
            <w:r w:rsidRPr="00A65AAA">
              <w:rPr>
                <w:rFonts w:ascii="Times New Roman" w:hAnsi="Times New Roman" w:cs="Times New Roman"/>
                <w:b/>
                <w:sz w:val="24"/>
                <w:szCs w:val="24"/>
              </w:rPr>
              <w:t>Стаж работы</w:t>
            </w:r>
          </w:p>
          <w:p w:rsidR="00781712" w:rsidRPr="00A65AAA" w:rsidRDefault="00781712" w:rsidP="00781712">
            <w:pPr>
              <w:keepNext/>
              <w:jc w:val="both"/>
              <w:outlineLvl w:val="1"/>
              <w:rPr>
                <w:rFonts w:ascii="Times New Roman" w:hAnsi="Times New Roman" w:cs="Times New Roman"/>
                <w:sz w:val="24"/>
                <w:szCs w:val="24"/>
              </w:rPr>
            </w:pPr>
          </w:p>
        </w:tc>
        <w:tc>
          <w:tcPr>
            <w:tcW w:w="5069" w:type="dxa"/>
          </w:tcPr>
          <w:p w:rsidR="00781712" w:rsidRPr="00D85A13" w:rsidRDefault="00781712" w:rsidP="00D85A13">
            <w:pPr>
              <w:keepNext/>
              <w:jc w:val="center"/>
              <w:outlineLvl w:val="1"/>
              <w:rPr>
                <w:rFonts w:ascii="Times New Roman" w:hAnsi="Times New Roman" w:cs="Times New Roman"/>
                <w:b/>
                <w:sz w:val="24"/>
                <w:szCs w:val="24"/>
              </w:rPr>
            </w:pPr>
            <w:r w:rsidRPr="00A65AAA">
              <w:rPr>
                <w:rFonts w:ascii="Times New Roman" w:hAnsi="Times New Roman" w:cs="Times New Roman"/>
                <w:b/>
                <w:sz w:val="24"/>
                <w:szCs w:val="24"/>
              </w:rPr>
              <w:t>Размер вознаграждения в долях к среднемесячной заработной плате</w:t>
            </w:r>
          </w:p>
        </w:tc>
      </w:tr>
      <w:tr w:rsidR="00781712" w:rsidRPr="00A65AAA" w:rsidTr="00781712">
        <w:tc>
          <w:tcPr>
            <w:tcW w:w="5068"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до 1 года</w:t>
            </w:r>
          </w:p>
        </w:tc>
        <w:tc>
          <w:tcPr>
            <w:tcW w:w="5069"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не выплачивается</w:t>
            </w:r>
          </w:p>
        </w:tc>
      </w:tr>
      <w:tr w:rsidR="00781712" w:rsidRPr="00A65AAA" w:rsidTr="00781712">
        <w:tc>
          <w:tcPr>
            <w:tcW w:w="5068"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от 1 года до 5 лет</w:t>
            </w:r>
          </w:p>
        </w:tc>
        <w:tc>
          <w:tcPr>
            <w:tcW w:w="5069"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1,0</w:t>
            </w:r>
          </w:p>
        </w:tc>
      </w:tr>
      <w:tr w:rsidR="00781712" w:rsidRPr="00A65AAA" w:rsidTr="00781712">
        <w:tc>
          <w:tcPr>
            <w:tcW w:w="5068"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от 5 лет до 10 лет</w:t>
            </w:r>
          </w:p>
        </w:tc>
        <w:tc>
          <w:tcPr>
            <w:tcW w:w="5069"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1,5</w:t>
            </w:r>
          </w:p>
        </w:tc>
      </w:tr>
      <w:tr w:rsidR="00781712" w:rsidRPr="00A65AAA" w:rsidTr="00781712">
        <w:tc>
          <w:tcPr>
            <w:tcW w:w="5068"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lastRenderedPageBreak/>
              <w:t>от 10 лет до 15 лет</w:t>
            </w:r>
          </w:p>
        </w:tc>
        <w:tc>
          <w:tcPr>
            <w:tcW w:w="5069"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2,0</w:t>
            </w:r>
          </w:p>
        </w:tc>
      </w:tr>
      <w:tr w:rsidR="00781712" w:rsidRPr="00A65AAA" w:rsidTr="00781712">
        <w:tc>
          <w:tcPr>
            <w:tcW w:w="5068"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от 15 лет до 20 лет</w:t>
            </w:r>
          </w:p>
        </w:tc>
        <w:tc>
          <w:tcPr>
            <w:tcW w:w="5069"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2,5</w:t>
            </w:r>
          </w:p>
        </w:tc>
      </w:tr>
      <w:tr w:rsidR="00781712" w:rsidRPr="00A65AAA" w:rsidTr="00781712">
        <w:tc>
          <w:tcPr>
            <w:tcW w:w="5068"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от 20 лет до 25 лет</w:t>
            </w:r>
          </w:p>
        </w:tc>
        <w:tc>
          <w:tcPr>
            <w:tcW w:w="5069"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3,0</w:t>
            </w:r>
          </w:p>
        </w:tc>
      </w:tr>
      <w:tr w:rsidR="00781712" w:rsidRPr="00A65AAA" w:rsidTr="00781712">
        <w:tc>
          <w:tcPr>
            <w:tcW w:w="5068"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свыше 25 лет</w:t>
            </w:r>
          </w:p>
        </w:tc>
        <w:tc>
          <w:tcPr>
            <w:tcW w:w="5069" w:type="dxa"/>
          </w:tcPr>
          <w:p w:rsidR="00781712" w:rsidRPr="00A65AAA" w:rsidRDefault="00781712" w:rsidP="00781712">
            <w:pPr>
              <w:keepNext/>
              <w:jc w:val="center"/>
              <w:outlineLvl w:val="1"/>
              <w:rPr>
                <w:rFonts w:ascii="Times New Roman" w:hAnsi="Times New Roman" w:cs="Times New Roman"/>
                <w:sz w:val="24"/>
                <w:szCs w:val="24"/>
              </w:rPr>
            </w:pPr>
            <w:r w:rsidRPr="00A65AAA">
              <w:rPr>
                <w:rFonts w:ascii="Times New Roman" w:hAnsi="Times New Roman" w:cs="Times New Roman"/>
                <w:sz w:val="24"/>
                <w:szCs w:val="24"/>
              </w:rPr>
              <w:t>3,5</w:t>
            </w:r>
          </w:p>
        </w:tc>
      </w:tr>
    </w:tbl>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Вознаграждение по результатам деятельности Общества может выплачиваться и на отчетные даты (1, 2, 3, 4 кварталы, 1 и 2 полугодия, 9, 11 месяцев и год).</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В целях повышения трудовой и технологической дисциплины применяется механизм </w:t>
      </w:r>
      <w:proofErr w:type="spellStart"/>
      <w:r w:rsidRPr="00A65AAA">
        <w:rPr>
          <w:rFonts w:ascii="Times New Roman" w:hAnsi="Times New Roman" w:cs="Times New Roman"/>
          <w:sz w:val="24"/>
          <w:szCs w:val="24"/>
        </w:rPr>
        <w:t>депремирования</w:t>
      </w:r>
      <w:proofErr w:type="spellEnd"/>
      <w:r w:rsidRPr="00A65AAA">
        <w:rPr>
          <w:rFonts w:ascii="Times New Roman" w:hAnsi="Times New Roman" w:cs="Times New Roman"/>
          <w:sz w:val="24"/>
          <w:szCs w:val="24"/>
        </w:rPr>
        <w:t xml:space="preserve">, уменьшается размер переменной части оплаты труда на величину процента </w:t>
      </w:r>
      <w:proofErr w:type="spellStart"/>
      <w:r w:rsidRPr="00A65AAA">
        <w:rPr>
          <w:rFonts w:ascii="Times New Roman" w:hAnsi="Times New Roman" w:cs="Times New Roman"/>
          <w:sz w:val="24"/>
          <w:szCs w:val="24"/>
        </w:rPr>
        <w:t>депремирования</w:t>
      </w:r>
      <w:proofErr w:type="spellEnd"/>
      <w:r w:rsidRPr="00A65AAA">
        <w:rPr>
          <w:rFonts w:ascii="Times New Roman" w:hAnsi="Times New Roman" w:cs="Times New Roman"/>
          <w:sz w:val="24"/>
          <w:szCs w:val="24"/>
        </w:rPr>
        <w:t xml:space="preserve"> в соответствии с общим перечнем производственных нарушений, наличие которых служит основанием для снижения или полного лишения переменной части оплаты труда по решению руководителя Общества с учетом мнения Профсоюзного комитета. Базовая величина переменной части, зависящая от труда структурного подразделения, выплачивается работнику за выполнение возложенных на него обязанностей. При замечаниях, нарушениях, невыполнении задания работник представляется к частичному получению переменной части или полностью теряет право на ее получение.</w:t>
      </w:r>
    </w:p>
    <w:p w:rsidR="00781712" w:rsidRPr="00A65AAA" w:rsidRDefault="00781712" w:rsidP="00781712">
      <w:pPr>
        <w:keepNext/>
        <w:tabs>
          <w:tab w:val="left" w:pos="0"/>
        </w:tabs>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2.6. С целью закрепления кадров и в соответствии с действующим законодательством в Обществе вводятся ежемесячные надбавки за выслугу лет, источником выплаты которых является фонд оплаты труда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2.6.1. Надбавка-вознаграждение за выслугу лет выплачивается всем категориям работников ежемесячно в следующих размерах:</w:t>
      </w:r>
    </w:p>
    <w:p w:rsidR="00781712" w:rsidRPr="00A65AAA" w:rsidRDefault="00781712" w:rsidP="00781712">
      <w:pPr>
        <w:keepNext/>
        <w:spacing w:after="0" w:line="240" w:lineRule="auto"/>
        <w:jc w:val="both"/>
        <w:outlineLvl w:val="1"/>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680"/>
      </w:tblGrid>
      <w:tr w:rsidR="00781712" w:rsidRPr="00A65AAA" w:rsidTr="00A37F50">
        <w:tc>
          <w:tcPr>
            <w:tcW w:w="4926" w:type="dxa"/>
          </w:tcPr>
          <w:p w:rsidR="00781712" w:rsidRPr="00A65AAA"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При непрерывном стаже работы, дающем право на получение ежемесячной надбавки</w:t>
            </w:r>
          </w:p>
        </w:tc>
        <w:tc>
          <w:tcPr>
            <w:tcW w:w="4680" w:type="dxa"/>
          </w:tcPr>
          <w:p w:rsidR="00781712" w:rsidRPr="00A65AAA"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 xml:space="preserve">Размер надбавки-вознаграждения к месячной тарифной ставке /оклада </w:t>
            </w:r>
            <w:proofErr w:type="gramStart"/>
            <w:r w:rsidRPr="00A65AAA">
              <w:rPr>
                <w:rFonts w:ascii="Times New Roman" w:hAnsi="Times New Roman" w:cs="Times New Roman"/>
                <w:b/>
                <w:sz w:val="24"/>
                <w:szCs w:val="24"/>
              </w:rPr>
              <w:t>в</w:t>
            </w:r>
            <w:proofErr w:type="gramEnd"/>
            <w:r w:rsidRPr="00A65AAA">
              <w:rPr>
                <w:rFonts w:ascii="Times New Roman" w:hAnsi="Times New Roman" w:cs="Times New Roman"/>
                <w:b/>
                <w:sz w:val="24"/>
                <w:szCs w:val="24"/>
              </w:rPr>
              <w:t xml:space="preserve"> %</w:t>
            </w:r>
          </w:p>
        </w:tc>
      </w:tr>
      <w:tr w:rsidR="00781712" w:rsidRPr="00A65AAA" w:rsidTr="00A37F50">
        <w:tc>
          <w:tcPr>
            <w:tcW w:w="4926"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до 1 года</w:t>
            </w:r>
          </w:p>
        </w:tc>
        <w:tc>
          <w:tcPr>
            <w:tcW w:w="4680"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не выплачивается</w:t>
            </w:r>
          </w:p>
        </w:tc>
      </w:tr>
      <w:tr w:rsidR="00781712" w:rsidRPr="00A65AAA" w:rsidTr="00A37F50">
        <w:tc>
          <w:tcPr>
            <w:tcW w:w="4926"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от 1 года до 5 лет</w:t>
            </w:r>
          </w:p>
        </w:tc>
        <w:tc>
          <w:tcPr>
            <w:tcW w:w="4680"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10%</w:t>
            </w:r>
          </w:p>
        </w:tc>
      </w:tr>
      <w:tr w:rsidR="00781712" w:rsidRPr="00A65AAA" w:rsidTr="00A37F50">
        <w:tc>
          <w:tcPr>
            <w:tcW w:w="4926"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от 5 лет до 10 лет</w:t>
            </w:r>
          </w:p>
        </w:tc>
        <w:tc>
          <w:tcPr>
            <w:tcW w:w="4680"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15%</w:t>
            </w:r>
          </w:p>
        </w:tc>
      </w:tr>
      <w:tr w:rsidR="00781712" w:rsidRPr="00A65AAA" w:rsidTr="00A37F50">
        <w:tc>
          <w:tcPr>
            <w:tcW w:w="4926"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от 10 лет до 15 лет</w:t>
            </w:r>
          </w:p>
        </w:tc>
        <w:tc>
          <w:tcPr>
            <w:tcW w:w="4680"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20%</w:t>
            </w:r>
          </w:p>
        </w:tc>
      </w:tr>
      <w:tr w:rsidR="00781712" w:rsidRPr="00A65AAA" w:rsidTr="00A37F50">
        <w:tc>
          <w:tcPr>
            <w:tcW w:w="4926"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свыше 15 лет</w:t>
            </w:r>
          </w:p>
        </w:tc>
        <w:tc>
          <w:tcPr>
            <w:tcW w:w="4680" w:type="dxa"/>
          </w:tcPr>
          <w:p w:rsidR="00781712" w:rsidRPr="00A65AAA" w:rsidRDefault="00781712" w:rsidP="00781712">
            <w:pPr>
              <w:keepNext/>
              <w:spacing w:after="0" w:line="240" w:lineRule="auto"/>
              <w:jc w:val="center"/>
              <w:outlineLvl w:val="1"/>
              <w:rPr>
                <w:rFonts w:ascii="Times New Roman" w:hAnsi="Times New Roman" w:cs="Times New Roman"/>
                <w:sz w:val="24"/>
                <w:szCs w:val="24"/>
              </w:rPr>
            </w:pPr>
            <w:r w:rsidRPr="00A65AAA">
              <w:rPr>
                <w:rFonts w:ascii="Times New Roman" w:hAnsi="Times New Roman" w:cs="Times New Roman"/>
                <w:sz w:val="24"/>
                <w:szCs w:val="24"/>
              </w:rPr>
              <w:t>25%</w:t>
            </w:r>
          </w:p>
        </w:tc>
      </w:tr>
    </w:tbl>
    <w:p w:rsidR="00781712" w:rsidRPr="00A65AAA" w:rsidRDefault="00781712" w:rsidP="00781712">
      <w:pPr>
        <w:keepNext/>
        <w:spacing w:after="0" w:line="240" w:lineRule="auto"/>
        <w:jc w:val="both"/>
        <w:outlineLvl w:val="1"/>
        <w:rPr>
          <w:rFonts w:ascii="Times New Roman" w:hAnsi="Times New Roman" w:cs="Times New Roman"/>
          <w:sz w:val="24"/>
          <w:szCs w:val="24"/>
        </w:rPr>
      </w:pP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Право на ежемесячную надбавку-вознаграждение за выслугу лет в указанных размерах возникает у работников по истечении соответствующего минимального стажа работы.</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2.6.2. В стаж работы, дающий право на получение ежемесячного вознаграждения за выслугу лет включается: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время непрерывной работы в Обществе, период работы в предприятиях сельскохозяйственного производства и продовольствия, а также при поступлении на работу в Общество переводом и проработавшим в указанной сфере не менее одного года;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время отпуска по уходу за ребенком;</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время срока службы в вооруженных силах, если до призыва работник работал в Обществе;</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время обучения на курсах повышения квалификации с отрывом от производства и по направлению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время работы на выборных должностях.</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Надбавка-вознаграждение за выслугу лет не выплачивается в течение одного месяца, если имели место нарушения трудовой и производственной дисциплины:</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в случае прогула - 1 день;</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производство бракованной продукции или нарушение технологических процессов;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появления на работе в состоянии алкогольного, наркотического или иного токсического опьянения и распитие спиртных напитков на рабочем месте.</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Надбавка за выслугу лет не выплачивается до конца года с месяца, в котором допущены следующие нарушения трудовой и производственной дисциплины:</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lastRenderedPageBreak/>
        <w:t>- совершение хищения имущества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в случае применения мер общественного воздействия за хулиганство, привлечения к административной и уголовной ответственности;</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за появление  на работе дважды в состоянии алкогольного, наркотического или иного токсического опьянения;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два случая выпуска бракованной продукции нарушение технологических процессов.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Надбавка за выслугу лет не включается  в тарифную часть заработной платы. При увольнении работника, проработавшего неполный календарный месяц, надбавка за выслугу лет не выплачивается.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Работникам Общества при уходе в очередной отпуск и в других случаях оказывается материальная помощь в размере одного месячного оклада. Источником для выплаты материальной помощи является прибыль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Премирование работников Общества осуществляется в честь круглых дат и профессиональных праздников в размере до одного месячного оклада: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День Энергетика;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День работника сельского хозяйства;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День Республики;</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- 23 февраля;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- 8 марта;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День пожилых людей</w:t>
      </w:r>
      <w:r w:rsidR="005110C0">
        <w:rPr>
          <w:rFonts w:ascii="Times New Roman" w:hAnsi="Times New Roman" w:cs="Times New Roman"/>
          <w:sz w:val="24"/>
          <w:szCs w:val="24"/>
        </w:rPr>
        <w:t xml:space="preserve"> (работающих и не работающих пенсионеров)</w:t>
      </w:r>
      <w:r w:rsidRPr="00A65AAA">
        <w:rPr>
          <w:rFonts w:ascii="Times New Roman" w:hAnsi="Times New Roman" w:cs="Times New Roman"/>
          <w:sz w:val="24"/>
          <w:szCs w:val="24"/>
        </w:rPr>
        <w:t>;</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  в честь </w:t>
      </w:r>
      <w:r w:rsidR="00E70A4E" w:rsidRPr="00A65AAA">
        <w:rPr>
          <w:rFonts w:ascii="Times New Roman" w:hAnsi="Times New Roman" w:cs="Times New Roman"/>
          <w:sz w:val="24"/>
          <w:szCs w:val="24"/>
        </w:rPr>
        <w:t xml:space="preserve">25, </w:t>
      </w:r>
      <w:r w:rsidRPr="00A65AAA">
        <w:rPr>
          <w:rFonts w:ascii="Times New Roman" w:hAnsi="Times New Roman" w:cs="Times New Roman"/>
          <w:sz w:val="24"/>
          <w:szCs w:val="24"/>
        </w:rPr>
        <w:t xml:space="preserve">30, </w:t>
      </w:r>
      <w:r w:rsidR="00E70A4E" w:rsidRPr="00A65AAA">
        <w:rPr>
          <w:rFonts w:ascii="Times New Roman" w:hAnsi="Times New Roman" w:cs="Times New Roman"/>
          <w:sz w:val="24"/>
          <w:szCs w:val="24"/>
        </w:rPr>
        <w:t xml:space="preserve">35, </w:t>
      </w:r>
      <w:r w:rsidRPr="00A65AAA">
        <w:rPr>
          <w:rFonts w:ascii="Times New Roman" w:hAnsi="Times New Roman" w:cs="Times New Roman"/>
          <w:sz w:val="24"/>
          <w:szCs w:val="24"/>
        </w:rPr>
        <w:t>40,</w:t>
      </w:r>
      <w:r w:rsidR="00E70A4E" w:rsidRPr="00A65AAA">
        <w:rPr>
          <w:rFonts w:ascii="Times New Roman" w:hAnsi="Times New Roman" w:cs="Times New Roman"/>
          <w:sz w:val="24"/>
          <w:szCs w:val="24"/>
        </w:rPr>
        <w:t xml:space="preserve"> 45, </w:t>
      </w:r>
      <w:r w:rsidRPr="00A65AAA">
        <w:rPr>
          <w:rFonts w:ascii="Times New Roman" w:hAnsi="Times New Roman" w:cs="Times New Roman"/>
          <w:sz w:val="24"/>
          <w:szCs w:val="24"/>
        </w:rPr>
        <w:t>50, 55, 60</w:t>
      </w:r>
      <w:r w:rsidR="00E70A4E" w:rsidRPr="00A65AAA">
        <w:rPr>
          <w:rFonts w:ascii="Times New Roman" w:hAnsi="Times New Roman" w:cs="Times New Roman"/>
          <w:sz w:val="24"/>
          <w:szCs w:val="24"/>
        </w:rPr>
        <w:t>, 65</w:t>
      </w:r>
      <w:r w:rsidRPr="00A65AAA">
        <w:rPr>
          <w:rFonts w:ascii="Times New Roman" w:hAnsi="Times New Roman" w:cs="Times New Roman"/>
          <w:sz w:val="24"/>
          <w:szCs w:val="24"/>
        </w:rPr>
        <w:t>-летия.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Все вышеперечисленные выплаты и поощрения, вознаграждения и надбавки не выплачиваются временным работникам, работающим по совмещению, по договорам гражданско-правового характера. Не предоставляются им также льготы и не выдаются путевки в дома отдыха, санатории и курорты.</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2.7. Размер переменной части оплаты труда отдельным работникам может быть увеличен или уменьшен по решению руководителя Общества, как в процентном соотношении, так и в суммарном выражении.</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2.7.1. Предусматриваются следующие условия для премирования электромонтеров по эксплуатации электросчетчиков: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количество проверенных абонентов;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количество замененных электрических счетчиков;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своевременная сдача отчетов, до 24 числа каждого месяца;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количество составленных актов и контролирование оплаты;</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отсутствие обоснованных претензий со стороны абонентов.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Премия выплачивается в размере до 50% от тарифных ставок индивидуально, каждому контролеру, в зависимости от выполнения условий премирования.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2.8. </w:t>
      </w:r>
      <w:proofErr w:type="gramStart"/>
      <w:r w:rsidRPr="00A65AAA">
        <w:rPr>
          <w:rFonts w:ascii="Times New Roman" w:hAnsi="Times New Roman" w:cs="Times New Roman"/>
          <w:sz w:val="24"/>
          <w:szCs w:val="24"/>
        </w:rPr>
        <w:t>При обнаружении фактов несвоевременного и (или) некачественного выполнения работ и оказания услуг руководители структурных подразделений, специалисты и рабочие, по вине которых допущены нарушения, лишаются переменной части оплаты труда за те месяцы, когда были выявлены эти факты, независимо от привлечения работников в установленном порядке к дисциплинарной или другим видам ответственности.</w:t>
      </w:r>
      <w:proofErr w:type="gramEnd"/>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2.9. Переменная часть оплаты труда включается в себестоимость выполненных работ или оказанных услуг. Конкретный размер переменной части устанавливается в зависимости от наличия средств, которые Общество может использовать на эти цели.</w:t>
      </w:r>
    </w:p>
    <w:p w:rsidR="00781712" w:rsidRPr="00A65AAA" w:rsidRDefault="00781712" w:rsidP="00781712">
      <w:pPr>
        <w:keepNext/>
        <w:spacing w:after="0" w:line="240" w:lineRule="auto"/>
        <w:jc w:val="right"/>
        <w:outlineLvl w:val="1"/>
        <w:rPr>
          <w:rFonts w:ascii="Times New Roman" w:hAnsi="Times New Roman" w:cs="Times New Roman"/>
          <w:sz w:val="24"/>
          <w:szCs w:val="24"/>
        </w:rPr>
      </w:pPr>
    </w:p>
    <w:p w:rsidR="00781712" w:rsidRPr="00A65AAA"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3. ПОРЯДОК НАЧИСЛЕНИЯ ПЕРЕМЕННОЙ ЧАСТИ ОПЛАТЫ ТРУДА</w:t>
      </w:r>
    </w:p>
    <w:p w:rsidR="00781712" w:rsidRPr="00A65AAA" w:rsidRDefault="00781712" w:rsidP="00781712">
      <w:pPr>
        <w:keepNext/>
        <w:spacing w:after="0" w:line="240" w:lineRule="auto"/>
        <w:jc w:val="center"/>
        <w:outlineLvl w:val="1"/>
        <w:rPr>
          <w:rFonts w:ascii="Times New Roman" w:hAnsi="Times New Roman" w:cs="Times New Roman"/>
          <w:sz w:val="24"/>
          <w:szCs w:val="24"/>
        </w:rPr>
      </w:pP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3.1. Основанием для начисления постоянной части оплаты труда является штатное расписание или трудовой договор, заключенный с работником.</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3.2. </w:t>
      </w:r>
      <w:proofErr w:type="gramStart"/>
      <w:r w:rsidRPr="00A65AAA">
        <w:rPr>
          <w:rFonts w:ascii="Times New Roman" w:hAnsi="Times New Roman" w:cs="Times New Roman"/>
          <w:sz w:val="24"/>
          <w:szCs w:val="24"/>
        </w:rPr>
        <w:t>Размер оплаты труда</w:t>
      </w:r>
      <w:proofErr w:type="gramEnd"/>
      <w:r w:rsidRPr="00A65AAA">
        <w:rPr>
          <w:rFonts w:ascii="Times New Roman" w:hAnsi="Times New Roman" w:cs="Times New Roman"/>
          <w:sz w:val="24"/>
          <w:szCs w:val="24"/>
        </w:rPr>
        <w:t xml:space="preserve"> равен:</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lastRenderedPageBreak/>
        <w:t xml:space="preserve">Постоянная, основная часть оплаты труда + переменная часть оплаты труда = </w:t>
      </w:r>
      <w:proofErr w:type="gramStart"/>
      <w:r w:rsidRPr="00A65AAA">
        <w:rPr>
          <w:rFonts w:ascii="Times New Roman" w:hAnsi="Times New Roman" w:cs="Times New Roman"/>
          <w:sz w:val="24"/>
          <w:szCs w:val="24"/>
        </w:rPr>
        <w:t>размер оплаты труда</w:t>
      </w:r>
      <w:proofErr w:type="gramEnd"/>
      <w:r w:rsidRPr="00A65AAA">
        <w:rPr>
          <w:rFonts w:ascii="Times New Roman" w:hAnsi="Times New Roman" w:cs="Times New Roman"/>
          <w:sz w:val="24"/>
          <w:szCs w:val="24"/>
        </w:rPr>
        <w:t>.</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3.3. Переменная часть оплаты труда начисляется по результатам работы Общества в целом, структурного подразделения за месяц или в рамках образованного фонда оплаты труда подразделения и утверждается руководителем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3.4. Механизм </w:t>
      </w:r>
      <w:proofErr w:type="spellStart"/>
      <w:r w:rsidRPr="00A65AAA">
        <w:rPr>
          <w:rFonts w:ascii="Times New Roman" w:hAnsi="Times New Roman" w:cs="Times New Roman"/>
          <w:sz w:val="24"/>
          <w:szCs w:val="24"/>
        </w:rPr>
        <w:t>депремирования</w:t>
      </w:r>
      <w:proofErr w:type="spellEnd"/>
      <w:r w:rsidRPr="00A65AAA">
        <w:rPr>
          <w:rFonts w:ascii="Times New Roman" w:hAnsi="Times New Roman" w:cs="Times New Roman"/>
          <w:sz w:val="24"/>
          <w:szCs w:val="24"/>
        </w:rPr>
        <w:t xml:space="preserve"> к работникам применяется в случае предъявления служебной записки руководителя структурного подразделения с четко прописанными претензиями в адрес работника, а в случае выявления нарушения трудовой и технологической дисциплины работником непосредственно руководителем применяется после составления акта и получения объяснительной записки работника на основании соответствующего приказа (распоряжения) руководителя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3.5. Переменная часть, зависящая от результатов работы Общества и структурного подразделения, начисляется на постоянную часть, рассчитанную по тарифным ставкам, должностным окладам, согласно штатному расписанию, за фактически отработанное время с учетом доплат и надбавок:</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3.5.1. за совмещение профессий (должностей) и расширение зоны обслуживания;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3.5.2. за работу в ночное время и праздничные дни, в случае если они не выпадают на рабочие смены;</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3.5.3. за возложенные дополнительные обязанности на работников в период отсутствия, болезни, отпуска, командировки другого работника.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3.6. Специалистам, служащим и рабочим структурных подразделений показатели для начисления переменной части устанавливаются руководителями соответствующих подразделений.</w:t>
      </w:r>
    </w:p>
    <w:p w:rsidR="00781712" w:rsidRPr="00A65AAA" w:rsidRDefault="00781712" w:rsidP="00781712">
      <w:pPr>
        <w:keepNext/>
        <w:spacing w:after="0" w:line="240" w:lineRule="auto"/>
        <w:ind w:firstLine="567"/>
        <w:jc w:val="right"/>
        <w:outlineLvl w:val="1"/>
        <w:rPr>
          <w:rFonts w:ascii="Times New Roman" w:hAnsi="Times New Roman" w:cs="Times New Roman"/>
          <w:sz w:val="24"/>
          <w:szCs w:val="24"/>
        </w:rPr>
      </w:pPr>
    </w:p>
    <w:p w:rsidR="00781712" w:rsidRPr="00A65AAA"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4. ПОРЯДОК ВЫПЛАТ</w:t>
      </w:r>
    </w:p>
    <w:p w:rsidR="00781712" w:rsidRPr="00A65AAA" w:rsidRDefault="00781712" w:rsidP="00781712">
      <w:pPr>
        <w:keepNext/>
        <w:spacing w:after="0" w:line="240" w:lineRule="auto"/>
        <w:jc w:val="center"/>
        <w:outlineLvl w:val="1"/>
        <w:rPr>
          <w:rFonts w:ascii="Times New Roman" w:hAnsi="Times New Roman" w:cs="Times New Roman"/>
          <w:sz w:val="24"/>
          <w:szCs w:val="24"/>
        </w:rPr>
      </w:pP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4.1. Сроки выплаты работникам заработной платы - аванс </w:t>
      </w:r>
      <w:r w:rsidR="00315683">
        <w:rPr>
          <w:rFonts w:ascii="Times New Roman" w:hAnsi="Times New Roman" w:cs="Times New Roman"/>
          <w:sz w:val="24"/>
          <w:szCs w:val="24"/>
        </w:rPr>
        <w:t>25</w:t>
      </w:r>
      <w:r w:rsidRPr="00A65AAA">
        <w:rPr>
          <w:rFonts w:ascii="Times New Roman" w:hAnsi="Times New Roman" w:cs="Times New Roman"/>
          <w:sz w:val="24"/>
          <w:szCs w:val="24"/>
        </w:rPr>
        <w:t xml:space="preserve"> числа текущего месяца, расчет за месяц - 1</w:t>
      </w:r>
      <w:r w:rsidR="00315683">
        <w:rPr>
          <w:rFonts w:ascii="Times New Roman" w:hAnsi="Times New Roman" w:cs="Times New Roman"/>
          <w:sz w:val="24"/>
          <w:szCs w:val="24"/>
        </w:rPr>
        <w:t>2</w:t>
      </w:r>
      <w:r w:rsidRPr="00A65AAA">
        <w:rPr>
          <w:rFonts w:ascii="Times New Roman" w:hAnsi="Times New Roman" w:cs="Times New Roman"/>
          <w:sz w:val="24"/>
          <w:szCs w:val="24"/>
        </w:rPr>
        <w:t xml:space="preserve"> числа месяца следующего за расчетным.</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4.2. Перед выплатой каждому работнику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выплате.</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4.3. Табели учета рабочего времени, служебные записки на имя руководителя Общества по вопросам премирования и </w:t>
      </w:r>
      <w:proofErr w:type="spellStart"/>
      <w:r w:rsidRPr="00A65AAA">
        <w:rPr>
          <w:rFonts w:ascii="Times New Roman" w:hAnsi="Times New Roman" w:cs="Times New Roman"/>
          <w:sz w:val="24"/>
          <w:szCs w:val="24"/>
        </w:rPr>
        <w:t>депремирования</w:t>
      </w:r>
      <w:proofErr w:type="spellEnd"/>
      <w:r w:rsidRPr="00A65AAA">
        <w:rPr>
          <w:rFonts w:ascii="Times New Roman" w:hAnsi="Times New Roman" w:cs="Times New Roman"/>
          <w:sz w:val="24"/>
          <w:szCs w:val="24"/>
        </w:rPr>
        <w:t xml:space="preserve"> работников не позднее 1 числа каждого месяца сдаются в бухгалтерию.</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4.4. Табели учета рабочего времени заполняют и подписывают руководители структурных подразделений. Утверждает табели учета рабочего времени руководитель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4.5. В случае вынужденных простоев работников Общества (по обстоятельствам, не зависящим от работодателя и работника) и невыполнения в связи с этим норм труда (должностных обязанностей) за работников сохраняется не менее двух третей тарифной ставки (оклада).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4.6. Работникам, проработавшим неполный рабочий месяц в связи с призывом в Вооруженные силы Российской Федерации, переводом на другую работу, поступлением в учебное заведение, уходом на пенсию и по другим уважительным причинам, выплата премии производится за фактически отработанное время в данном отчетном периоде. Уволенным по другим причинам (прогул, алкогольное опьянение и другие виды грубых нарушений трудовой дисциплины) переменная часть оплаты труда за данный месяц не выплачивается.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4.7. руководители структурных подразделений и бухгалтера несут ответственность за правильность начисления и выплаты заработной платы работникам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4.8. Оклад выплачивается Работникам путем перечисления на счет в банке, с которым у Работодателя заключен договор.</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lastRenderedPageBreak/>
        <w:t xml:space="preserve">4.9. Работодатель обеспечивает работников </w:t>
      </w:r>
      <w:proofErr w:type="spellStart"/>
      <w:r w:rsidRPr="00A65AAA">
        <w:rPr>
          <w:rFonts w:ascii="Times New Roman" w:hAnsi="Times New Roman" w:cs="Times New Roman"/>
          <w:sz w:val="24"/>
          <w:szCs w:val="24"/>
        </w:rPr>
        <w:t>зарплатной</w:t>
      </w:r>
      <w:proofErr w:type="spellEnd"/>
      <w:r w:rsidRPr="00A65AAA">
        <w:rPr>
          <w:rFonts w:ascii="Times New Roman" w:hAnsi="Times New Roman" w:cs="Times New Roman"/>
          <w:sz w:val="24"/>
          <w:szCs w:val="24"/>
        </w:rPr>
        <w:t xml:space="preserve"> банковской картой установленного образца за свой счет.</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4.10. Оклад выплачивается не реже чем каждые полмесяца.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4.11. При совпадении дня выплаты с выходным или нерабочим праздничным днем выплата заработной платы производится накануне этого дня.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4.12. При прекращении действия трудового договора с работником окончательный расчет по причитающейся ему заработной плате производится в последний день работы, оговоренный в приказе об увольнении. </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4.13. Оплата отпуска работникам производится не </w:t>
      </w:r>
      <w:proofErr w:type="gramStart"/>
      <w:r w:rsidRPr="00A65AAA">
        <w:rPr>
          <w:rFonts w:ascii="Times New Roman" w:hAnsi="Times New Roman" w:cs="Times New Roman"/>
          <w:sz w:val="24"/>
          <w:szCs w:val="24"/>
        </w:rPr>
        <w:t>позднее</w:t>
      </w:r>
      <w:proofErr w:type="gramEnd"/>
      <w:r w:rsidRPr="00A65AAA">
        <w:rPr>
          <w:rFonts w:ascii="Times New Roman" w:hAnsi="Times New Roman" w:cs="Times New Roman"/>
          <w:sz w:val="24"/>
          <w:szCs w:val="24"/>
        </w:rPr>
        <w:t xml:space="preserve"> чем за три дня до его начала, если работник своевременно подал заявление об отпуске.</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4.14.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бухгалтерию Общества.</w:t>
      </w:r>
    </w:p>
    <w:p w:rsidR="00781712" w:rsidRPr="00A65AAA" w:rsidRDefault="00781712" w:rsidP="00781712">
      <w:pPr>
        <w:keepNext/>
        <w:spacing w:after="0" w:line="240" w:lineRule="auto"/>
        <w:jc w:val="right"/>
        <w:outlineLvl w:val="1"/>
        <w:rPr>
          <w:rFonts w:ascii="Times New Roman" w:hAnsi="Times New Roman" w:cs="Times New Roman"/>
          <w:sz w:val="24"/>
          <w:szCs w:val="24"/>
        </w:rPr>
      </w:pPr>
    </w:p>
    <w:p w:rsidR="00781712" w:rsidRPr="00A65AAA"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5. ИНЫЕ СЛУЧАИ ВЫПЛАТЫ ДЕНЕЖНЫХ СРЕДСТВ РАБОТНИКАМ</w:t>
      </w:r>
    </w:p>
    <w:p w:rsidR="00781712" w:rsidRPr="00A65AAA" w:rsidRDefault="00781712" w:rsidP="00781712">
      <w:pPr>
        <w:keepNext/>
        <w:spacing w:after="0" w:line="240" w:lineRule="auto"/>
        <w:jc w:val="center"/>
        <w:outlineLvl w:val="1"/>
        <w:rPr>
          <w:rFonts w:ascii="Times New Roman" w:hAnsi="Times New Roman" w:cs="Times New Roman"/>
          <w:sz w:val="24"/>
          <w:szCs w:val="24"/>
        </w:rPr>
      </w:pP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5.1. В случае возникновения чрезвычайных обстоятельств работникам может быть выплачена материальная помощь</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5.1.1. Материальная помощь выплачивается из средств Работодателя на основании приказа (распоряжения) руководителя Общества по личному заявлению работников.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xml:space="preserve">5.1.2. </w:t>
      </w:r>
      <w:proofErr w:type="gramStart"/>
      <w:r w:rsidRPr="00A65AAA">
        <w:rPr>
          <w:rFonts w:ascii="Times New Roman" w:hAnsi="Times New Roman" w:cs="Times New Roman"/>
          <w:sz w:val="24"/>
          <w:szCs w:val="24"/>
        </w:rPr>
        <w:t>Материальная помощь может выплачиваться в случае смерти близкого родственника: мужа, жены, сына, дочери, отца, матери, брата, сестры.</w:t>
      </w:r>
      <w:proofErr w:type="gramEnd"/>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5.1.3. Предоставление материальной помощи производится при предоставлении работниками документов, подтверждающих наступление чрезвычайных обстоятельств.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5.1.4. Для закрепления кадров в Обществе работнику, отслужившему военную службу по призыву, может выплачиваться материальная помощь (подъемные) по личному заявлению работника на основании приказа руководителя Общества.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5.2. По заявлению работника, предоставленному непосредственно руководителю Общества, работодатель может выдать работникам денежный заем на приобретение и строительство жилья, ремонт жилья и надворных построек.</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5.2.1. Условия предоставления займа: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работники должны иметь непрерывный стаж работы в Обществе не менее 3 лет;</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proofErr w:type="gramStart"/>
      <w:r w:rsidRPr="00A65AAA">
        <w:rPr>
          <w:rFonts w:ascii="Times New Roman" w:hAnsi="Times New Roman" w:cs="Times New Roman"/>
          <w:sz w:val="24"/>
          <w:szCs w:val="24"/>
        </w:rPr>
        <w:t>- работники не должны иметь в собственности другой жилое помещение, кроме приобретаемого, что подтверждается предоставляемой выпиской из Единого государственного реестра прав на недвижимое имущество и сделок с ним;</w:t>
      </w:r>
      <w:proofErr w:type="gramEnd"/>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работники должны предоставить копию договора купли-продажи жилого помещения.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5.2.2. Условия возврата займа: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заем выдается на срок не более 1 года;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максимальный размер займа определяется Коллективным договором;</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процентная ставка по займу определяется в рамках договора займа, заключаемого с работником;</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 возврат займа осуществляется путем внесения работником наличных денег в кассу Общества, либо путем перечисления безналичных средств на счет Общества, либо путем удержания денежных средств из заработной платы работника.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Иные вопросы, связанные с выдачей и возвратом займа, регулируются договором займа, заключенного между работодателем и работником.</w:t>
      </w:r>
    </w:p>
    <w:p w:rsidR="00A965F4" w:rsidRPr="00A65AAA" w:rsidRDefault="00A965F4" w:rsidP="00781712">
      <w:pPr>
        <w:keepNext/>
        <w:spacing w:after="0" w:line="240" w:lineRule="auto"/>
        <w:jc w:val="right"/>
        <w:outlineLvl w:val="1"/>
        <w:rPr>
          <w:rFonts w:ascii="Times New Roman" w:hAnsi="Times New Roman" w:cs="Times New Roman"/>
          <w:sz w:val="24"/>
          <w:szCs w:val="24"/>
        </w:rPr>
      </w:pPr>
    </w:p>
    <w:p w:rsidR="00781712" w:rsidRPr="00A65AAA" w:rsidRDefault="00781712" w:rsidP="00781712">
      <w:pPr>
        <w:keepNext/>
        <w:spacing w:after="0" w:line="240" w:lineRule="auto"/>
        <w:jc w:val="center"/>
        <w:outlineLvl w:val="1"/>
        <w:rPr>
          <w:rFonts w:ascii="Times New Roman" w:hAnsi="Times New Roman" w:cs="Times New Roman"/>
          <w:b/>
          <w:sz w:val="24"/>
          <w:szCs w:val="24"/>
        </w:rPr>
      </w:pPr>
      <w:r w:rsidRPr="00A65AAA">
        <w:rPr>
          <w:rFonts w:ascii="Times New Roman" w:hAnsi="Times New Roman" w:cs="Times New Roman"/>
          <w:b/>
          <w:sz w:val="24"/>
          <w:szCs w:val="24"/>
        </w:rPr>
        <w:t>6. ЗАКЛЮЧИТЕЛЬНЫЕ ПОЛОЖЕНИЯ</w:t>
      </w:r>
    </w:p>
    <w:p w:rsidR="00781712" w:rsidRPr="00A65AAA" w:rsidRDefault="00781712" w:rsidP="00781712">
      <w:pPr>
        <w:keepNext/>
        <w:spacing w:after="0" w:line="240" w:lineRule="auto"/>
        <w:jc w:val="center"/>
        <w:outlineLvl w:val="1"/>
        <w:rPr>
          <w:rFonts w:ascii="Times New Roman" w:hAnsi="Times New Roman" w:cs="Times New Roman"/>
          <w:sz w:val="24"/>
          <w:szCs w:val="24"/>
        </w:rPr>
      </w:pP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6.1.</w:t>
      </w:r>
      <w:r w:rsidR="00A965F4" w:rsidRPr="00A65AAA">
        <w:rPr>
          <w:rFonts w:ascii="Times New Roman" w:hAnsi="Times New Roman" w:cs="Times New Roman"/>
          <w:sz w:val="24"/>
          <w:szCs w:val="24"/>
        </w:rPr>
        <w:t xml:space="preserve"> </w:t>
      </w:r>
      <w:r w:rsidRPr="00A65AAA">
        <w:rPr>
          <w:rFonts w:ascii="Times New Roman" w:hAnsi="Times New Roman" w:cs="Times New Roman"/>
          <w:sz w:val="24"/>
          <w:szCs w:val="24"/>
        </w:rPr>
        <w:t>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др.</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lastRenderedPageBreak/>
        <w:t>6.2. Для оплаты работы в ночное время, в выходные и нерабочие праздничные дни, сверхурочных работ, при выполнении работ различной квалификации, при совмещении профессий и выполнении обязанностей временно отсутствующего работника применяются соответствующие нормы действующего трудового законодательства.</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6.3. Настоящее Положение вступает в силу с момента его утверждения.</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6.4. Настоящее Положение применяется  к трудовым отношениям, возникшим до вступления его в действие в части улучшения положения работников.</w:t>
      </w:r>
    </w:p>
    <w:p w:rsidR="00781712" w:rsidRPr="00A65AAA" w:rsidRDefault="00781712" w:rsidP="00781712">
      <w:pPr>
        <w:keepNext/>
        <w:spacing w:after="0" w:line="240" w:lineRule="auto"/>
        <w:ind w:firstLine="567"/>
        <w:jc w:val="both"/>
        <w:outlineLvl w:val="1"/>
        <w:rPr>
          <w:rFonts w:ascii="Times New Roman" w:hAnsi="Times New Roman" w:cs="Times New Roman"/>
          <w:sz w:val="24"/>
          <w:szCs w:val="24"/>
        </w:rPr>
      </w:pPr>
      <w:r w:rsidRPr="00A65AAA">
        <w:rPr>
          <w:rFonts w:ascii="Times New Roman" w:hAnsi="Times New Roman" w:cs="Times New Roman"/>
          <w:sz w:val="24"/>
          <w:szCs w:val="24"/>
        </w:rPr>
        <w:t>6.5. Текст настоящего Положения подлежит доведению до сведения работников.</w:t>
      </w:r>
    </w:p>
    <w:p w:rsidR="00875023" w:rsidRPr="00A65AAA" w:rsidRDefault="00875023" w:rsidP="00781712">
      <w:pPr>
        <w:spacing w:after="0" w:line="240" w:lineRule="auto"/>
        <w:rPr>
          <w:rFonts w:ascii="Times New Roman" w:hAnsi="Times New Roman" w:cs="Times New Roman"/>
          <w:sz w:val="24"/>
          <w:szCs w:val="24"/>
        </w:rPr>
      </w:pPr>
    </w:p>
    <w:p w:rsidR="00781712" w:rsidRPr="00A65AAA" w:rsidRDefault="00781712">
      <w:pPr>
        <w:spacing w:after="0" w:line="240" w:lineRule="auto"/>
        <w:rPr>
          <w:rFonts w:ascii="Times New Roman" w:hAnsi="Times New Roman" w:cs="Times New Roman"/>
          <w:sz w:val="24"/>
          <w:szCs w:val="24"/>
        </w:rPr>
      </w:pPr>
    </w:p>
    <w:sectPr w:rsidR="00781712" w:rsidRPr="00A65AAA" w:rsidSect="0078171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781712"/>
    <w:rsid w:val="00214868"/>
    <w:rsid w:val="00267299"/>
    <w:rsid w:val="00304082"/>
    <w:rsid w:val="00315683"/>
    <w:rsid w:val="00353493"/>
    <w:rsid w:val="005110C0"/>
    <w:rsid w:val="00781712"/>
    <w:rsid w:val="0085199C"/>
    <w:rsid w:val="00875023"/>
    <w:rsid w:val="00A65AAA"/>
    <w:rsid w:val="00A965F4"/>
    <w:rsid w:val="00BB0969"/>
    <w:rsid w:val="00C96887"/>
    <w:rsid w:val="00D85A13"/>
    <w:rsid w:val="00E70A4E"/>
    <w:rsid w:val="00EF04DE"/>
    <w:rsid w:val="00F75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3396</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dc:creator>
  <cp:keywords/>
  <dc:description/>
  <cp:lastModifiedBy>ю</cp:lastModifiedBy>
  <cp:revision>12</cp:revision>
  <dcterms:created xsi:type="dcterms:W3CDTF">2020-01-30T04:35:00Z</dcterms:created>
  <dcterms:modified xsi:type="dcterms:W3CDTF">2020-02-18T07:13:00Z</dcterms:modified>
</cp:coreProperties>
</file>